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6A617" w14:textId="391C6755" w:rsidR="00B3181D" w:rsidRPr="00023156" w:rsidRDefault="00023156" w:rsidP="00023156">
      <w:pPr>
        <w:jc w:val="center"/>
        <w:rPr>
          <w:rFonts w:ascii="Cambria" w:hAnsi="Cambria"/>
          <w:b/>
          <w:bCs/>
          <w:color w:val="800000"/>
          <w:sz w:val="36"/>
          <w:szCs w:val="36"/>
        </w:rPr>
      </w:pPr>
      <w:r w:rsidRPr="00023156">
        <w:rPr>
          <w:rFonts w:ascii="Cambria" w:hAnsi="Cambria"/>
          <w:b/>
          <w:bCs/>
          <w:color w:val="800000"/>
          <w:sz w:val="36"/>
          <w:szCs w:val="36"/>
        </w:rPr>
        <w:t>August Wilson: The Century Cycle</w:t>
      </w:r>
    </w:p>
    <w:tbl>
      <w:tblPr>
        <w:tblStyle w:val="TableGrid"/>
        <w:tblW w:w="14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3960"/>
        <w:gridCol w:w="3960"/>
        <w:gridCol w:w="2160"/>
      </w:tblGrid>
      <w:tr w:rsidR="00B3181D" w:rsidRPr="006A6FBF" w14:paraId="4DE9BCA3" w14:textId="77777777" w:rsidTr="00910F92">
        <w:tc>
          <w:tcPr>
            <w:tcW w:w="2160" w:type="dxa"/>
            <w:tcBorders>
              <w:bottom w:val="dotted" w:sz="4" w:space="0" w:color="808080" w:themeColor="background1" w:themeShade="80"/>
            </w:tcBorders>
          </w:tcPr>
          <w:p w14:paraId="4742E862" w14:textId="77777777" w:rsidR="00B3181D" w:rsidRPr="006A6FBF" w:rsidRDefault="00B3181D" w:rsidP="00023156">
            <w:pPr>
              <w:spacing w:before="60" w:after="60"/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dotted" w:sz="4" w:space="0" w:color="808080" w:themeColor="background1" w:themeShade="80"/>
            </w:tcBorders>
          </w:tcPr>
          <w:p w14:paraId="6CD9E3B8" w14:textId="5DE9A079" w:rsidR="00B3181D" w:rsidRPr="00023156" w:rsidRDefault="00B3181D" w:rsidP="00023156">
            <w:pPr>
              <w:spacing w:before="60" w:after="60"/>
              <w:jc w:val="center"/>
              <w:rPr>
                <w:rFonts w:ascii="Cambria" w:hAnsi="Cambria" w:cstheme="minorHAnsi"/>
                <w:b/>
                <w:bCs/>
                <w:color w:val="800000"/>
                <w:sz w:val="20"/>
                <w:szCs w:val="20"/>
              </w:rPr>
            </w:pPr>
            <w:r w:rsidRPr="00023156">
              <w:rPr>
                <w:rFonts w:ascii="Cambria" w:hAnsi="Cambria" w:cstheme="minorHAnsi"/>
                <w:b/>
                <w:bCs/>
                <w:color w:val="800000"/>
                <w:sz w:val="20"/>
                <w:szCs w:val="20"/>
              </w:rPr>
              <w:t>Premier</w:t>
            </w:r>
          </w:p>
        </w:tc>
        <w:tc>
          <w:tcPr>
            <w:tcW w:w="3960" w:type="dxa"/>
            <w:tcBorders>
              <w:bottom w:val="dotted" w:sz="4" w:space="0" w:color="808080" w:themeColor="background1" w:themeShade="80"/>
            </w:tcBorders>
          </w:tcPr>
          <w:p w14:paraId="7E020E2A" w14:textId="678AA1C3" w:rsidR="00B3181D" w:rsidRPr="00023156" w:rsidRDefault="00B3181D" w:rsidP="00023156">
            <w:pPr>
              <w:spacing w:before="60" w:after="60"/>
              <w:jc w:val="center"/>
              <w:rPr>
                <w:rFonts w:ascii="Cambria" w:hAnsi="Cambria" w:cstheme="minorHAnsi"/>
                <w:b/>
                <w:bCs/>
                <w:color w:val="800000"/>
                <w:sz w:val="20"/>
                <w:szCs w:val="20"/>
              </w:rPr>
            </w:pPr>
            <w:r w:rsidRPr="00023156">
              <w:rPr>
                <w:rFonts w:ascii="Cambria" w:hAnsi="Cambria" w:cstheme="minorHAnsi"/>
                <w:b/>
                <w:bCs/>
                <w:color w:val="800000"/>
                <w:sz w:val="20"/>
                <w:szCs w:val="20"/>
              </w:rPr>
              <w:t>Synopsis</w:t>
            </w:r>
          </w:p>
        </w:tc>
        <w:tc>
          <w:tcPr>
            <w:tcW w:w="3960" w:type="dxa"/>
            <w:tcBorders>
              <w:bottom w:val="dotted" w:sz="4" w:space="0" w:color="808080" w:themeColor="background1" w:themeShade="80"/>
            </w:tcBorders>
          </w:tcPr>
          <w:p w14:paraId="2FE65912" w14:textId="5714F09E" w:rsidR="00B3181D" w:rsidRPr="00023156" w:rsidRDefault="00B3181D" w:rsidP="00023156">
            <w:pPr>
              <w:spacing w:before="60" w:after="60"/>
              <w:jc w:val="center"/>
              <w:rPr>
                <w:rFonts w:ascii="Cambria" w:hAnsi="Cambria" w:cstheme="minorHAnsi"/>
                <w:b/>
                <w:bCs/>
                <w:color w:val="800000"/>
                <w:sz w:val="20"/>
                <w:szCs w:val="20"/>
              </w:rPr>
            </w:pPr>
            <w:r w:rsidRPr="00023156">
              <w:rPr>
                <w:rFonts w:ascii="Cambria" w:hAnsi="Cambria" w:cstheme="minorHAnsi"/>
                <w:b/>
                <w:bCs/>
                <w:color w:val="800000"/>
                <w:sz w:val="20"/>
                <w:szCs w:val="20"/>
              </w:rPr>
              <w:t>Talent</w:t>
            </w:r>
          </w:p>
        </w:tc>
        <w:tc>
          <w:tcPr>
            <w:tcW w:w="2160" w:type="dxa"/>
            <w:tcBorders>
              <w:bottom w:val="dotted" w:sz="4" w:space="0" w:color="808080" w:themeColor="background1" w:themeShade="80"/>
            </w:tcBorders>
          </w:tcPr>
          <w:p w14:paraId="32F3CC19" w14:textId="4F0E20DF" w:rsidR="00B3181D" w:rsidRPr="00B3181D" w:rsidRDefault="00B3181D" w:rsidP="00023156">
            <w:pPr>
              <w:spacing w:before="60" w:after="60"/>
              <w:jc w:val="center"/>
              <w:rPr>
                <w:rFonts w:ascii="Cambria" w:hAnsi="Cambria" w:cstheme="minorHAnsi"/>
                <w:b/>
                <w:bCs/>
                <w:color w:val="800000"/>
                <w:sz w:val="21"/>
                <w:szCs w:val="21"/>
              </w:rPr>
            </w:pPr>
            <w:r w:rsidRPr="00B3181D">
              <w:rPr>
                <w:rFonts w:ascii="Cambria" w:hAnsi="Cambria" w:cstheme="minorHAnsi"/>
                <w:b/>
                <w:bCs/>
                <w:color w:val="800000"/>
                <w:sz w:val="21"/>
                <w:szCs w:val="21"/>
              </w:rPr>
              <w:t>Awards</w:t>
            </w:r>
          </w:p>
        </w:tc>
      </w:tr>
      <w:tr w:rsidR="00910F92" w:rsidRPr="006A6FBF" w14:paraId="7C53D007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E91EB1" w14:textId="77777777" w:rsidR="00910F92" w:rsidRPr="00B3181D" w:rsidRDefault="00910F92" w:rsidP="00960388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9. Gem of the Ocean (2003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4B3103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2003, Goodman Theatre, Chicago; 2004, Broadway opening at the Walter Kerr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A40938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Pittsburgh in </w:t>
            </w:r>
            <w:r w:rsidRPr="00FC3E40">
              <w:rPr>
                <w:rStyle w:val="dateChar"/>
              </w:rPr>
              <w:t>1904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, the play features a man whose small crime has had deadly consequences for another man. Feeling guilty, he comes seeking the spiritual healing of Aunt Ester. A recurring charact</w:t>
            </w:r>
            <w:bookmarkStart w:id="0" w:name="_GoBack"/>
            <w:bookmarkEnd w:id="0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er in Wilson’s plays, Ester claims to be 285 years old and is the kind matriarch of her household in Pittsburgh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028DF9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Marion McClinton directed the Goodman Theatre premiere; Kenny Leon directed the Broadway premiere, which starred Phylicia Rashad (Aunt Ester), Lisa Gay Hamilton (Black Mary), Anthony Chisholm (Solly Two Kings), Ruben Santiago-Hudson (Caesar), Eugene Lee (Eli), Raynor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Scheine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(Selig), John Earl Jelks (Citizen Barlow).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0D611F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910F92" w:rsidRPr="00023156" w14:paraId="0F13A9BE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86EA77" w14:textId="77777777" w:rsidR="00910F92" w:rsidRPr="00B3181D" w:rsidRDefault="00910F92" w:rsidP="00960388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4. Joe Turner’s Come and Gone (1984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DDA04A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1986, Yale Repertory Theatre; 1988, Broadway opening at Ethel Barrymore Theater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5AEE2E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a Pittsburgh boardinghouse in </w:t>
            </w:r>
            <w:r w:rsidRPr="00FC3E40">
              <w:rPr>
                <w:rStyle w:val="dateChar"/>
              </w:rPr>
              <w:t>1911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, the ensemble play includes characters who were former slaves and examines the residents’ experiences with racism and discrimination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70367F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Directed by Lloyd Richards, the cast included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Delroy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Lindo (Herald Loomis), Angela Bassett (Martha, Loomis’s wife) and L. Scott Caldwell (Bertha, the boardinghouse owner’s wife)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79388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L. Scott Caldwell won a Tony Award for Best Featured Actress in a Play</w:t>
            </w:r>
          </w:p>
        </w:tc>
      </w:tr>
      <w:tr w:rsidR="00910F92" w:rsidRPr="00023156" w14:paraId="6F03945B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478489" w14:textId="77777777" w:rsidR="00910F92" w:rsidRPr="00B3181D" w:rsidRDefault="00910F92" w:rsidP="00960388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2. Ma Rainey’s Black Bottom (1982)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B43F21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1984, Yale Repertory Theatre; subsequent 1984 Broadway opening at the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Cort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6BA25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</w:t>
            </w:r>
            <w:r w:rsidRPr="00FC3E40">
              <w:rPr>
                <w:rStyle w:val="dateChar"/>
              </w:rPr>
              <w:t>1927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in a Chicago recording studio (the ten-cycle play not set in Pittsburgh), </w:t>
            </w:r>
            <w:r w:rsidRPr="00FC3E40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>Ma Rainey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examines racism in the history of black musicians and white producers, and the themes of art and religion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7FD92A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Directed by Lloyd Richards, the Broadway premiere starred Charles S. Dutton (Levee) and Theresa Merritt (Ma)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BACAD1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Wilson wins his first of his seven New York Drama Critics Circle awards for his plays.</w:t>
            </w:r>
          </w:p>
        </w:tc>
      </w:tr>
      <w:tr w:rsidR="00910F92" w:rsidRPr="00023156" w14:paraId="700AF925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4E5C22" w14:textId="77777777" w:rsidR="00910F92" w:rsidRPr="00B3181D" w:rsidRDefault="00910F92" w:rsidP="00960388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5. The Piano Lesson (1986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3149F6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1987, Yale Repertory Theater; 1990 Broadway opening at Walter Kerr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EF3DE2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Named after a painting by Romare Bearden, the play follows the Charles family in the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Doaker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Charles household in </w:t>
            </w:r>
            <w:r w:rsidRPr="00FC3E40">
              <w:rPr>
                <w:rStyle w:val="dateChar"/>
              </w:rPr>
              <w:t>1936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. A brother and a sister have different ideas about what to do with their piano, a family heirloom. Sell it to purchase land their enslaved ancestors once toiled upon, or keep the piano, which includes carved depictions of two distant relatives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260E0C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Directed by Lloyd Richardson. Starring Charles S. Dutton (Boy Willie), Rocky Carroll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Lymon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), Apryl R. Foster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Maretha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), Carl Gordon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Doaker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), Lisa Gay Hamilton (Grace), Tommy Hollis (Avery), S.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Epatha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Merkerson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(Berniece), Lou Myers (Wining Boy)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F5C171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Pulitzer Prize for Drama, Drama Desk Award for Outstanding Play.</w:t>
            </w:r>
          </w:p>
        </w:tc>
      </w:tr>
      <w:tr w:rsidR="00910F92" w:rsidRPr="00023156" w14:paraId="4601CD87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5CE9FF" w14:textId="77777777" w:rsidR="00910F92" w:rsidRPr="00B3181D" w:rsidRDefault="00910F92" w:rsidP="00960388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7. Seven Guitars (1995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899D32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1995 Goodman Theatre, Chicago; 1996, Broadway opening at Walter Kerr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6084E5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Pittsburgh in </w:t>
            </w:r>
            <w:r w:rsidRPr="00FC3E40">
              <w:rPr>
                <w:rStyle w:val="dateChar"/>
              </w:rPr>
              <w:t>1948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, blues singer Floyd “Schoolboy” Barton is newly freed from prison when he’s asked to sign a record deal after a song he recorded months before becomes a surprise hit. He struggles to right wrongs and make his way back to Chicago. Black manhood is a theme of the play and a rooster is used in to symbolize it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D7173D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Directed by Lloyd Richardson. Keith David (Floyd Barton), Rosalyn Coleman (Ruby), Viola Davis (Vera), Tommy Hollis (Red Carter), Roger Robinson (Hedley), Ruben Santiago-Hudson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Canewell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), Michele Shay (Louise)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A35507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Ruben Santiago-Hudson won a Tony Award for Best Featured Actor in a Play.</w:t>
            </w:r>
          </w:p>
        </w:tc>
      </w:tr>
      <w:tr w:rsidR="00B3181D" w:rsidRPr="00023156" w14:paraId="6AC3D31B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70DDA6" w14:textId="77777777" w:rsidR="00B3181D" w:rsidRPr="00B3181D" w:rsidRDefault="00B3181D" w:rsidP="004D449D">
            <w:pPr>
              <w:pStyle w:val="NormalWeb"/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lastRenderedPageBreak/>
              <w:t>3. Fences (1984)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F4022C" w14:textId="6CA9A2F7" w:rsidR="00B3181D" w:rsidRPr="00FC3E40" w:rsidRDefault="00B3181D" w:rsidP="00B3181D">
            <w:pPr>
              <w:pStyle w:val="NormalWeb"/>
              <w:jc w:val="center"/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>1987, Broadway premiere at 46th Street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0415CC" w14:textId="028EBDC2" w:rsidR="00B3181D" w:rsidRPr="00FC3E40" w:rsidRDefault="00B3181D" w:rsidP="00023156">
            <w:pPr>
              <w:pStyle w:val="NormalWeb"/>
              <w:jc w:val="center"/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 xml:space="preserve">In </w:t>
            </w:r>
            <w:r w:rsidRPr="00FC3E40">
              <w:rPr>
                <w:rStyle w:val="dateChar"/>
                <w:rFonts w:asciiTheme="minorHAnsi" w:hAnsiTheme="minorHAnsi"/>
              </w:rPr>
              <w:t>1957</w:t>
            </w:r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>, Troy Maxson, a former Negro Baseball League player, is a bitter man in his 50s who works as a garbageman. His frustration and disappointments in life affect his wife Rose and son Cory, who like his father, is a gifted athlete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C4F55A" w14:textId="127BB9C7" w:rsidR="00B3181D" w:rsidRPr="00FC3E40" w:rsidRDefault="00B3181D" w:rsidP="00B3181D">
            <w:pPr>
              <w:pStyle w:val="NormalWeb"/>
              <w:jc w:val="center"/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 xml:space="preserve">Directed by Lloyd Richardson, the play starred James Earl Jones (Troy), Mary Alice (Rose), Courtney B. Vance (Cory) and Ray </w:t>
            </w:r>
            <w:proofErr w:type="spellStart"/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>Aranha</w:t>
            </w:r>
            <w:proofErr w:type="spellEnd"/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 xml:space="preserve"> (Jim Bono)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0520B1" w14:textId="0547EEEC" w:rsidR="00B3181D" w:rsidRPr="00FC3E40" w:rsidRDefault="00B3181D" w:rsidP="00B3181D">
            <w:pPr>
              <w:pStyle w:val="NormalWeb"/>
              <w:jc w:val="center"/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</w:rPr>
              <w:t>Pulitzer Prize for Drama, four Tony Awards for Best Play, Best Direction, Best Actor (James Earl Jones), Best Featured Actress (Mary Alice), and three Drama Desk Awards.</w:t>
            </w:r>
          </w:p>
        </w:tc>
      </w:tr>
      <w:tr w:rsidR="00B3181D" w:rsidRPr="00023156" w14:paraId="5EB1D752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2E61DB" w14:textId="77777777" w:rsidR="00B3181D" w:rsidRPr="00B3181D" w:rsidRDefault="00B3181D" w:rsidP="004D449D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6. Two Trains Running (1990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6D029F" w14:textId="7AC27FCD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1990, at Yale Repertory Theatre; 1992, Broadway opening at Walter Kerr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0A758A" w14:textId="6164025A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</w:t>
            </w:r>
            <w:r w:rsidRPr="00FC3E40">
              <w:rPr>
                <w:rStyle w:val="dateChar"/>
              </w:rPr>
              <w:t>1969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, the play 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tells of a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restaurant in Pittsburgh’s Hill District, which has suffered a long economic decline. The restaurant owner, Memphis, worries what will happen when the city 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takes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the building through eminent domain. A young activist, Sterling, tries to organize protests and rallies 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to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help save the restaurant, but Memphis is not so supportive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4BF890" w14:textId="1FE3CFE3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Directed by Lloyd Richardson. Broadway premiere starred Roscoe Lee Browne (Holloway), Anthony Chisholm (Wolf), Laurence Fishburne (Sterling), Cynthia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Martells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(Risa), Chuck Patterson (West), Sullivan Walker (Hambone), Al White (Memphis)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8B8674" w14:textId="793B0080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Laurence Fishburne won a Tony Award and Drama Desk Award for best actor in a play.</w:t>
            </w:r>
          </w:p>
        </w:tc>
      </w:tr>
      <w:tr w:rsidR="00910F92" w:rsidRPr="00023156" w14:paraId="4E996E7E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45BE3B" w14:textId="77777777" w:rsidR="00910F92" w:rsidRPr="00B3181D" w:rsidRDefault="00910F92" w:rsidP="00960388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1. Jitney (1979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9FBA6C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1982, Allegheny Repertory Theatre, Pittsburgh; 2000 premiere Off-Broadway at Second Stage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BF84AC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an unofficial taxi station threatened with demolition in </w:t>
            </w:r>
            <w:r w:rsidRPr="00FC3E40">
              <w:rPr>
                <w:rStyle w:val="dateChar"/>
              </w:rPr>
              <w:t>1977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,</w:t>
            </w:r>
            <w:r w:rsidRPr="00FC3E40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 xml:space="preserve"> Jitney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explores the lives and relationships of drivers, highlighting conflicts between generations and different concepts of legacy and identity.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51803D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Directed by Marion McClinton. The Off-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Broaway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production starred Anthony Chisholm (Fielding), Paul Butler (Becker), Willis Burks (Shealy) and Stephen McKinley Henderson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Turnbo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), all of whom had been performing the play regularly since 1996.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B1A87C" w14:textId="77777777" w:rsidR="00910F92" w:rsidRPr="00FC3E40" w:rsidRDefault="00910F92" w:rsidP="00960388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2001 Outer Critics Circle Award for Outstanding Off-Broadway Play; 2002 Laurence Olivier Award for Best New Play.</w:t>
            </w:r>
          </w:p>
        </w:tc>
      </w:tr>
      <w:tr w:rsidR="00B3181D" w:rsidRPr="00023156" w14:paraId="45901C5C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FDA225" w14:textId="556AC947" w:rsidR="00B3181D" w:rsidRPr="00B3181D" w:rsidRDefault="00B3181D" w:rsidP="004D449D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8. King Hedley</w:t>
            </w:r>
            <w:r w:rsidR="00910F92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 </w:t>
            </w: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II (1991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422F9F" w14:textId="32D14D98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1999, at the Pittsburgh Public Theater; 2001 Broadway opening at the Virginia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29B9DC" w14:textId="5B80D43D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Pittsburgh in </w:t>
            </w:r>
            <w:r w:rsidRPr="00FC3E40">
              <w:rPr>
                <w:rStyle w:val="dateChar"/>
              </w:rPr>
              <w:t>1985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, an </w:t>
            </w:r>
            <w:proofErr w:type="gram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ex-con tries</w:t>
            </w:r>
            <w:proofErr w:type="gram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wants to support a family and aims to get the money to open a video store by selling stolen refrigerators. The play features some characters from </w:t>
            </w:r>
            <w:r w:rsidRPr="00FC3E40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>Seven Guitars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CBF142" w14:textId="18230D46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Marion McClinton directed the Broadway production, with Brian Stokes Mitchell (King), Leslie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Uggams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(Ruby), Charles Brown (Elmore), Viola Davis (Tonya), Stephen McKinley Henderson (Stool Pigeon), and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Monté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Russell (Mister)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F33DA1" w14:textId="2E28517E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Viola Davis won a Tony and Drama Desk Award for Best Featured Actress; Charles Brown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,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a Drama Desk Award for Best Featured Actor </w:t>
            </w:r>
          </w:p>
        </w:tc>
      </w:tr>
      <w:tr w:rsidR="00B3181D" w:rsidRPr="006A6FBF" w14:paraId="738389ED" w14:textId="77777777" w:rsidTr="00910F92"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FB0D51" w14:textId="77777777" w:rsidR="00B3181D" w:rsidRPr="00B3181D" w:rsidRDefault="00B3181D" w:rsidP="004D449D">
            <w:pPr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</w:pPr>
            <w:r w:rsidRPr="006A6FBF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10. Radio Golf (2005</w:t>
            </w:r>
            <w:r w:rsidRPr="00B3181D">
              <w:rPr>
                <w:rFonts w:ascii="Cambria" w:hAnsi="Cambria" w:cstheme="minorHAnsi"/>
                <w:b/>
                <w:bCs/>
                <w:color w:val="800000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3ACAF2" w14:textId="210F17DF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2005 at Yale Repertory Theater; 2007 Broadway opening at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Cort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Theatre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887CAE" w14:textId="661A13E5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Set in </w:t>
            </w:r>
            <w:r w:rsidRPr="00FC3E40">
              <w:rPr>
                <w:rStyle w:val="dateChar"/>
              </w:rPr>
              <w:t>1990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Pittsburgh, this play conclud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es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the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Cycle and is the last play he completed. The home of Aunt Ester (the setting of the cycle’s first play </w:t>
            </w:r>
            <w:r w:rsidRPr="00FC3E40">
              <w:rPr>
                <w:rFonts w:cstheme="minorHAnsi"/>
                <w:i/>
                <w:iCs/>
                <w:color w:val="404040" w:themeColor="text1" w:themeTint="BF"/>
                <w:sz w:val="20"/>
                <w:szCs w:val="20"/>
              </w:rPr>
              <w:t>Gem of the Ocean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) is threatened with demolition </w:t>
            </w:r>
            <w:proofErr w:type="gramStart"/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to 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make</w:t>
            </w:r>
            <w:proofErr w:type="gram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way for real estate development in the depressed area. Investors include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Harmond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Wilks, who wants to increase his chance of becoming the city’s first black mayor. History and legacy 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test 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personal </w:t>
            </w:r>
            <w:r w:rsidR="00023156"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hopes </w:t>
            </w: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and ideas of progress</w:t>
            </w:r>
          </w:p>
        </w:tc>
        <w:tc>
          <w:tcPr>
            <w:tcW w:w="39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240617" w14:textId="6B9249AD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On Broadway, Kenny Leon directed Anthony Chisholm (Elder Joseph Barlow), John Earl Jelks (Sterling Johnson), Harry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Lennix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Harmond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Wilks), Tonya 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Pinkins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</w:t>
            </w:r>
            <w:proofErr w:type="spellStart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>Mame</w:t>
            </w:r>
            <w:proofErr w:type="spellEnd"/>
            <w:r w:rsidRPr="00FC3E40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Wilks), and James A. Williams (Roosevelt Hicks).</w:t>
            </w:r>
          </w:p>
        </w:tc>
        <w:tc>
          <w:tcPr>
            <w:tcW w:w="21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0A62F7" w14:textId="77777777" w:rsidR="00B3181D" w:rsidRPr="00FC3E40" w:rsidRDefault="00B3181D" w:rsidP="00B3181D">
            <w:pPr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55CDA112" w14:textId="747D3C50" w:rsidR="00910F92" w:rsidRPr="00B3181D" w:rsidRDefault="00910F92" w:rsidP="00910F92">
      <w:pPr>
        <w:pStyle w:val="Caption"/>
        <w:jc w:val="right"/>
      </w:pPr>
      <w:r>
        <w:t xml:space="preserve">Adapted from PBS: </w:t>
      </w:r>
      <w:hyperlink r:id="rId4" w:history="1">
        <w:r w:rsidRPr="00562508">
          <w:rPr>
            <w:rStyle w:val="Hyperlink"/>
            <w:rFonts w:cstheme="minorHAnsi"/>
            <w:sz w:val="16"/>
            <w:szCs w:val="16"/>
          </w:rPr>
          <w:t>http://www.pbs.org/wnet/americanmasters/august-wilson-the-ground-on-which-i-stand-scenes-and-synposes-of-august-wilsons-10-play-cycle/3701/</w:t>
        </w:r>
      </w:hyperlink>
    </w:p>
    <w:sectPr w:rsidR="00910F92" w:rsidRPr="00B3181D" w:rsidSect="006A6FBF">
      <w:pgSz w:w="15840" w:h="12240" w:orient="landscape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FBF"/>
    <w:rsid w:val="00013F1C"/>
    <w:rsid w:val="00023156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395009"/>
    <w:rsid w:val="003D3C65"/>
    <w:rsid w:val="00415F00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34E0"/>
    <w:rsid w:val="006939CC"/>
    <w:rsid w:val="006A6FBF"/>
    <w:rsid w:val="006B542E"/>
    <w:rsid w:val="00775BE5"/>
    <w:rsid w:val="007A2061"/>
    <w:rsid w:val="007D2788"/>
    <w:rsid w:val="00804520"/>
    <w:rsid w:val="00860659"/>
    <w:rsid w:val="00862769"/>
    <w:rsid w:val="00892C3E"/>
    <w:rsid w:val="00910F92"/>
    <w:rsid w:val="009452CA"/>
    <w:rsid w:val="00986464"/>
    <w:rsid w:val="009C53D1"/>
    <w:rsid w:val="009E3637"/>
    <w:rsid w:val="009E58C4"/>
    <w:rsid w:val="009F00EB"/>
    <w:rsid w:val="00A04FD8"/>
    <w:rsid w:val="00A1325F"/>
    <w:rsid w:val="00A24413"/>
    <w:rsid w:val="00AC3CF0"/>
    <w:rsid w:val="00B021B5"/>
    <w:rsid w:val="00B3181D"/>
    <w:rsid w:val="00B47D7E"/>
    <w:rsid w:val="00B51BE6"/>
    <w:rsid w:val="00B648E4"/>
    <w:rsid w:val="00B841C2"/>
    <w:rsid w:val="00B84AE0"/>
    <w:rsid w:val="00BF127A"/>
    <w:rsid w:val="00C363AF"/>
    <w:rsid w:val="00C37F97"/>
    <w:rsid w:val="00C83543"/>
    <w:rsid w:val="00CF7BED"/>
    <w:rsid w:val="00D56019"/>
    <w:rsid w:val="00D779AB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691E"/>
    <w:rsid w:val="00FC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3A930"/>
  <w15:chartTrackingRefBased/>
  <w15:docId w15:val="{E86301BF-8A11-4E7F-8AB7-5C6D5EE8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F92"/>
    <w:pPr>
      <w:spacing w:after="120" w:line="240" w:lineRule="auto"/>
    </w:pPr>
    <w:rPr>
      <w:color w:val="595959" w:themeColor="text1" w:themeTint="A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NormalWeb">
    <w:name w:val="Normal (Web)"/>
    <w:basedOn w:val="Normal"/>
    <w:uiPriority w:val="99"/>
    <w:semiHidden/>
    <w:unhideWhenUsed/>
    <w:rsid w:val="006A6FB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Strong">
    <w:name w:val="Strong"/>
    <w:basedOn w:val="DefaultParagraphFont"/>
    <w:uiPriority w:val="22"/>
    <w:qFormat/>
    <w:rsid w:val="006A6FBF"/>
    <w:rPr>
      <w:b/>
      <w:bCs/>
    </w:rPr>
  </w:style>
  <w:style w:type="table" w:styleId="TableGrid">
    <w:name w:val="Table Grid"/>
    <w:basedOn w:val="TableNormal"/>
    <w:uiPriority w:val="39"/>
    <w:rsid w:val="00B31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0F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0F9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F9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F92"/>
    <w:rPr>
      <w:rFonts w:ascii="Segoe UI" w:hAnsi="Segoe UI" w:cs="Segoe UI"/>
      <w:color w:val="595959" w:themeColor="text1" w:themeTint="A6"/>
      <w:sz w:val="18"/>
      <w:szCs w:val="18"/>
    </w:rPr>
  </w:style>
  <w:style w:type="paragraph" w:customStyle="1" w:styleId="date">
    <w:name w:val="date"/>
    <w:basedOn w:val="Normal"/>
    <w:link w:val="dateChar"/>
    <w:qFormat/>
    <w:rsid w:val="00FC3E40"/>
    <w:pPr>
      <w:jc w:val="center"/>
    </w:pPr>
    <w:rPr>
      <w:rFonts w:cstheme="minorHAnsi"/>
      <w:b/>
      <w:bCs/>
      <w:color w:val="800000"/>
      <w:sz w:val="20"/>
      <w:szCs w:val="20"/>
    </w:rPr>
  </w:style>
  <w:style w:type="character" w:customStyle="1" w:styleId="dateChar">
    <w:name w:val="date Char"/>
    <w:basedOn w:val="DefaultParagraphFont"/>
    <w:link w:val="date"/>
    <w:rsid w:val="00FC3E40"/>
    <w:rPr>
      <w:rFonts w:cstheme="minorHAnsi"/>
      <w:b/>
      <w:bCs/>
      <w:color w:val="8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bs.org/wnet/americanmasters/august-wilson-the-ground-on-which-i-stand-scenes-and-synposes-of-august-wilsons-10-play-cycle/37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1142</Words>
  <Characters>6031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cp:lastPrinted>2019-10-22T04:35:00Z</cp:lastPrinted>
  <dcterms:created xsi:type="dcterms:W3CDTF">2019-10-22T03:54:00Z</dcterms:created>
  <dcterms:modified xsi:type="dcterms:W3CDTF">2019-10-22T07:20:00Z</dcterms:modified>
</cp:coreProperties>
</file>